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88B5B" w14:textId="77777777" w:rsidR="0022218F" w:rsidRDefault="003A3282">
      <w:pPr>
        <w:pStyle w:val="P68B1DB1-Heading11"/>
        <w:rPr>
          <w:bCs/>
        </w:rPr>
      </w:pPr>
      <w:r>
        <w:t xml:space="preserve">Πρόσκληση υποβολής προτάσεων — «Οικοδόμηση κοινότητας από γενιά σε γενιά μέσω του γραμματισμού στα μέσα επικοινωνίας» </w:t>
      </w:r>
    </w:p>
    <w:p w14:paraId="4C56CC3B" w14:textId="707BBF3E" w:rsidR="0022218F" w:rsidRPr="00636B6C" w:rsidRDefault="001D0544">
      <w:pPr>
        <w:pStyle w:val="Heading1"/>
        <w:rPr>
          <w:lang w:val="el-GR"/>
        </w:rPr>
      </w:pPr>
      <w:r>
        <w:rPr>
          <w:lang w:val="en-IE"/>
        </w:rPr>
        <w:t>E</w:t>
      </w:r>
      <w:r>
        <w:t>ρωτήσεις</w:t>
      </w:r>
      <w:r>
        <w:rPr>
          <w:lang w:val="el-GR"/>
        </w:rPr>
        <w:t xml:space="preserve"> που </w:t>
      </w:r>
      <w:r w:rsidR="00200FF7">
        <w:rPr>
          <w:lang w:val="el-GR"/>
        </w:rPr>
        <w:t>παρα</w:t>
      </w:r>
      <w:r>
        <w:rPr>
          <w:lang w:val="el-GR"/>
        </w:rPr>
        <w:t>λήφθησαν</w:t>
      </w:r>
    </w:p>
    <w:p w14:paraId="4D0C57F2" w14:textId="77777777" w:rsidR="0022218F" w:rsidRDefault="0022218F"/>
    <w:p w14:paraId="7812142E" w14:textId="0D4F6E33" w:rsidR="0022218F" w:rsidRDefault="003A3282">
      <w:pPr>
        <w:pStyle w:val="P68B1DB1-ListParagraph2"/>
        <w:numPr>
          <w:ilvl w:val="0"/>
          <w:numId w:val="1"/>
        </w:numPr>
        <w:rPr>
          <w:bCs/>
        </w:rPr>
      </w:pPr>
      <w:r>
        <w:t xml:space="preserve">Τι είδους </w:t>
      </w:r>
      <w:r w:rsidR="00200FF7">
        <w:rPr>
          <w:lang w:val="el-GR"/>
        </w:rPr>
        <w:t>ο</w:t>
      </w:r>
      <w:r>
        <w:t>ργανισμ</w:t>
      </w:r>
      <w:r w:rsidR="001D0544">
        <w:rPr>
          <w:lang w:val="el-GR"/>
        </w:rPr>
        <w:t>οί</w:t>
      </w:r>
      <w:r>
        <w:t xml:space="preserve"> θεωρ</w:t>
      </w:r>
      <w:r w:rsidR="001D0544">
        <w:rPr>
          <w:lang w:val="el-GR"/>
        </w:rPr>
        <w:t>ούνται</w:t>
      </w:r>
      <w:r>
        <w:t xml:space="preserve"> επιλέξιμο</w:t>
      </w:r>
      <w:r w:rsidR="001D0544">
        <w:rPr>
          <w:lang w:val="el-GR"/>
        </w:rPr>
        <w:t>ι</w:t>
      </w:r>
      <w:r>
        <w:t xml:space="preserve"> για την πρόσκληση;</w:t>
      </w:r>
    </w:p>
    <w:p w14:paraId="72F46E6A" w14:textId="1F569693" w:rsidR="0022218F" w:rsidRDefault="003A3282">
      <w:pPr>
        <w:ind w:firstLine="360"/>
      </w:pPr>
      <w:r>
        <w:t xml:space="preserve">Στο τμήμα 6 της πρόσκλησης υποβολής προτάσεων αναφέρεται ότι είναι επιλέξιμοι οι ακόλουθοι τύποι </w:t>
      </w:r>
      <w:r w:rsidR="001D0544">
        <w:rPr>
          <w:lang w:val="el-GR"/>
        </w:rPr>
        <w:t>φορέων</w:t>
      </w:r>
      <w:r>
        <w:t>:</w:t>
      </w:r>
    </w:p>
    <w:p w14:paraId="02F46240" w14:textId="77777777" w:rsidR="0022218F" w:rsidRDefault="003A3282">
      <w:pPr>
        <w:numPr>
          <w:ilvl w:val="0"/>
          <w:numId w:val="2"/>
        </w:numPr>
        <w:spacing w:after="0" w:line="240" w:lineRule="auto"/>
      </w:pPr>
      <w:r>
        <w:t>Μη κερδοσκοπικές οργανώσεις που συνεργάζονται με τις κύριες ομάδες-στόχους.  </w:t>
      </w:r>
    </w:p>
    <w:p w14:paraId="7469EA0B" w14:textId="1094DC3E" w:rsidR="0022218F" w:rsidRDefault="003A3282">
      <w:pPr>
        <w:numPr>
          <w:ilvl w:val="0"/>
          <w:numId w:val="3"/>
        </w:numPr>
        <w:spacing w:after="0" w:line="240" w:lineRule="auto"/>
      </w:pPr>
      <w:r>
        <w:t xml:space="preserve">Πάροχοι φροντίδας για τις </w:t>
      </w:r>
      <w:r w:rsidR="001D0544">
        <w:rPr>
          <w:lang w:val="el-GR"/>
        </w:rPr>
        <w:t>κύριες</w:t>
      </w:r>
      <w:r w:rsidR="001D0544">
        <w:t xml:space="preserve"> </w:t>
      </w:r>
      <w:r>
        <w:t xml:space="preserve">ομάδες-στόχους (προσχολική </w:t>
      </w:r>
      <w:r w:rsidR="001D0544">
        <w:rPr>
          <w:lang w:val="el-GR"/>
        </w:rPr>
        <w:t>αγωγή</w:t>
      </w:r>
      <w:r w:rsidR="001D0544">
        <w:t xml:space="preserve"> </w:t>
      </w:r>
      <w:r>
        <w:t>και εκπαίδευση, σχολεία, κοινοτικά κέντρα). </w:t>
      </w:r>
    </w:p>
    <w:p w14:paraId="1E449C11" w14:textId="77777777" w:rsidR="0022218F" w:rsidRDefault="003A3282">
      <w:pPr>
        <w:numPr>
          <w:ilvl w:val="0"/>
          <w:numId w:val="4"/>
        </w:numPr>
      </w:pPr>
      <w:r>
        <w:t>Δημοτικές αρχές </w:t>
      </w:r>
    </w:p>
    <w:p w14:paraId="2A81106E" w14:textId="4344A81B" w:rsidR="0022218F" w:rsidRDefault="003A3282">
      <w:pPr>
        <w:ind w:left="360"/>
      </w:pPr>
      <w:r>
        <w:t>Οι αιτούντες είναι υπεύθυνοι να αποδείξουν ότι πληρούν τ</w:t>
      </w:r>
      <w:r w:rsidR="001D0544">
        <w:rPr>
          <w:lang w:val="el-GR"/>
        </w:rPr>
        <w:t xml:space="preserve">α κριτήρια επιλεξιμότητας ως </w:t>
      </w:r>
      <w:r>
        <w:t xml:space="preserve">δικαιούχοι. Είναι σημαντικό να τηρούνται οι όροι επιλεξιμότητας της πρόσκλησης. Η συμμόρφωση θα αξιολογηθεί όπως εξηγείται στο τμήμα 8 της πρόσκλησης υποβολής προτάσεων.  </w:t>
      </w:r>
    </w:p>
    <w:p w14:paraId="4583EDDD" w14:textId="696C4BC9" w:rsidR="0022218F" w:rsidRDefault="003A3282">
      <w:pPr>
        <w:ind w:left="360"/>
      </w:pPr>
      <w:r>
        <w:t xml:space="preserve">Το τμήμα 3 των </w:t>
      </w:r>
      <w:r w:rsidR="001D0544">
        <w:rPr>
          <w:lang w:val="el-GR"/>
        </w:rPr>
        <w:t>Οδηγιών</w:t>
      </w:r>
      <w:r>
        <w:t xml:space="preserve"> </w:t>
      </w:r>
      <w:r w:rsidR="001D0544">
        <w:rPr>
          <w:lang w:val="el-GR"/>
        </w:rPr>
        <w:t>της</w:t>
      </w:r>
      <w:r>
        <w:t xml:space="preserve"> πρόσκληση</w:t>
      </w:r>
      <w:r w:rsidR="001D0544">
        <w:rPr>
          <w:lang w:val="el-GR"/>
        </w:rPr>
        <w:t>ς</w:t>
      </w:r>
      <w:r>
        <w:t xml:space="preserve"> εξηγεί τον τρόπο με τον οποίο οι επιλέξιμοι αιτούντες μπορούν να υποβάλουν αίτηση για επιχορήγηση, συμπεριλαμβανομένης της </w:t>
      </w:r>
      <w:r w:rsidR="001D0544">
        <w:rPr>
          <w:lang w:val="el-GR"/>
        </w:rPr>
        <w:t>δυνατότητας πολλών φορέων να σχηματίσουν έναν ενιαίο αιτούντα</w:t>
      </w:r>
      <w:r>
        <w:t>.</w:t>
      </w:r>
    </w:p>
    <w:p w14:paraId="63F4F53D" w14:textId="77777777" w:rsidR="0022218F" w:rsidRDefault="0022218F">
      <w:pPr>
        <w:ind w:left="360"/>
      </w:pPr>
    </w:p>
    <w:p w14:paraId="2B855DB4" w14:textId="0BB1A58F" w:rsidR="0022218F" w:rsidRDefault="003A3282">
      <w:pPr>
        <w:pStyle w:val="P68B1DB1-ListParagraph2"/>
        <w:numPr>
          <w:ilvl w:val="0"/>
          <w:numId w:val="1"/>
        </w:numPr>
        <w:rPr>
          <w:bCs/>
        </w:rPr>
      </w:pPr>
      <w:r>
        <w:t xml:space="preserve">Ποιες είναι οι απαιτήσεις </w:t>
      </w:r>
      <w:r w:rsidR="00CF5BB6">
        <w:rPr>
          <w:lang w:val="el-GR"/>
        </w:rPr>
        <w:t>για να πληροί</w:t>
      </w:r>
      <w:r w:rsidR="00CF5BB6">
        <w:t xml:space="preserve"> </w:t>
      </w:r>
      <w:r>
        <w:t>ένας οργανισμός τον ορισμό του «παρόχου φροντίδας»;</w:t>
      </w:r>
    </w:p>
    <w:p w14:paraId="22A7157C" w14:textId="3A6895B4" w:rsidR="0022218F" w:rsidRDefault="003A3282">
      <w:pPr>
        <w:ind w:left="360"/>
      </w:pPr>
      <w:r>
        <w:t xml:space="preserve">Για να θεωρηθούν πάροχοι φροντίδας, απαιτείται οι οργανισμοί να παρέχουν υπηρεσίες σε παιδιά, ενήλικες και ηλικιωμένους. Παραδείγματα παρόχων φροντίδας περιλαμβάνουν την προσχολική φροντίδα, τα σχολεία, τις εκπαιδευτικές </w:t>
      </w:r>
      <w:r w:rsidR="00CF5BB6">
        <w:rPr>
          <w:lang w:val="el-GR"/>
        </w:rPr>
        <w:t>δομές</w:t>
      </w:r>
      <w:r>
        <w:t xml:space="preserve">, τα κοινοτικά κέντρα και/ή τους οργανισμούς που εργάζονται με άτομα με προβλήματα ψυχικής και σωματικής υγείας. Δεν απαιτείται ειδική άδεια ή εγγραφή βάσει της εθνικής ή της ενωσιακής νομοθεσίας. Η περιγραφή των δραστηριοτήτων στο καταστατικό ή στην πράξη </w:t>
      </w:r>
      <w:r w:rsidR="00CF5BB6">
        <w:rPr>
          <w:lang w:val="el-GR"/>
        </w:rPr>
        <w:t>σύστασης</w:t>
      </w:r>
      <w:r w:rsidR="00CF5BB6">
        <w:t xml:space="preserve"> </w:t>
      </w:r>
      <w:r>
        <w:t xml:space="preserve">του αιτούντος ή σε οποιοδήποτε ισοδύναμο επίσημο έγγραφο </w:t>
      </w:r>
      <w:r w:rsidR="00CF5BB6">
        <w:rPr>
          <w:lang w:val="el-GR"/>
        </w:rPr>
        <w:t xml:space="preserve">επαρκεί </w:t>
      </w:r>
      <w:r>
        <w:t>ως απόδειξη της ιδιότητας του παρόχου φροντίδας.  </w:t>
      </w:r>
    </w:p>
    <w:p w14:paraId="5C67A05C" w14:textId="77777777" w:rsidR="0022218F" w:rsidRDefault="0022218F"/>
    <w:p w14:paraId="7AA3B997" w14:textId="68A1FB5E" w:rsidR="0022218F" w:rsidRDefault="003A3282">
      <w:pPr>
        <w:pStyle w:val="P68B1DB1-ListParagraph2"/>
        <w:numPr>
          <w:ilvl w:val="0"/>
          <w:numId w:val="1"/>
        </w:numPr>
        <w:rPr>
          <w:bCs/>
        </w:rPr>
      </w:pPr>
      <w:r>
        <w:t>Ποιες είναι οι απαιτήσεις ώστε ένας οργανισμός να ανταποκρίνεται στον ορισμό του «μη κερδοσκοπικού οργανισμού»;</w:t>
      </w:r>
    </w:p>
    <w:p w14:paraId="4EECDB9E" w14:textId="5574BFBF" w:rsidR="0022218F" w:rsidRDefault="003A3282">
      <w:pPr>
        <w:ind w:left="360"/>
      </w:pPr>
      <w:r>
        <w:lastRenderedPageBreak/>
        <w:t>Μολονότι δεν υπάρχει ενωσιακός ορισμός τ</w:t>
      </w:r>
      <w:r w:rsidR="00CF5BB6">
        <w:rPr>
          <w:lang w:val="el-GR"/>
        </w:rPr>
        <w:t>ου</w:t>
      </w:r>
      <w:r>
        <w:t xml:space="preserve"> μη κερδοσκοπικ</w:t>
      </w:r>
      <w:r w:rsidR="00CF5BB6">
        <w:rPr>
          <w:lang w:val="el-GR"/>
        </w:rPr>
        <w:t>ού οργανισμού</w:t>
      </w:r>
      <w:r>
        <w:t>, για τους σκοπούς της παρούσας διαδικασίας επιλογής η επιλεξιμότητα θα αξιολογηθεί με βάση τον ορισμό του Ευρωπαϊκού Συστήματος Εθνικών Λογαριασμών:  «</w:t>
      </w:r>
      <w:r w:rsidR="00CF5BB6">
        <w:rPr>
          <w:lang w:val="el-GR"/>
        </w:rPr>
        <w:t>Ι</w:t>
      </w:r>
      <w:r>
        <w:t>διωτικό</w:t>
      </w:r>
      <w:r w:rsidR="00CF5BB6">
        <w:rPr>
          <w:lang w:val="el-GR"/>
        </w:rPr>
        <w:t>ς</w:t>
      </w:r>
      <w:r>
        <w:t xml:space="preserve"> μη κερδοσκοπικό</w:t>
      </w:r>
      <w:r w:rsidR="00CF5BB6">
        <w:rPr>
          <w:lang w:val="el-GR"/>
        </w:rPr>
        <w:t>ς</w:t>
      </w:r>
      <w:r>
        <w:t xml:space="preserve"> </w:t>
      </w:r>
      <w:r w:rsidR="00CF5BB6">
        <w:rPr>
          <w:lang w:val="el-GR"/>
        </w:rPr>
        <w:t>οργανισμός (ΜΚΟ)</w:t>
      </w:r>
      <w:r>
        <w:t xml:space="preserve"> ορίζεται η νομική ή κοινωνική οντότητα που </w:t>
      </w:r>
      <w:r w:rsidR="00CF5BB6">
        <w:rPr>
          <w:lang w:val="el-GR"/>
        </w:rPr>
        <w:t>δρα</w:t>
      </w:r>
      <w:r w:rsidR="00CF5BB6">
        <w:t xml:space="preserve"> </w:t>
      </w:r>
      <w:r>
        <w:t>με σκοπό την παραγωγή αγαθών και υπηρεσιών, το καθεστώς τ</w:t>
      </w:r>
      <w:r w:rsidR="00CF5BB6">
        <w:rPr>
          <w:lang w:val="el-GR"/>
        </w:rPr>
        <w:t>ου</w:t>
      </w:r>
      <w:r>
        <w:t xml:space="preserve"> οποί</w:t>
      </w:r>
      <w:r w:rsidR="00CF5BB6">
        <w:rPr>
          <w:lang w:val="el-GR"/>
        </w:rPr>
        <w:t>ου</w:t>
      </w:r>
      <w:r>
        <w:t xml:space="preserve"> δεν επιτρέπει να αποτελεί πηγή εισοδήματος, κέρδους ή άλλου οικονομικού οφέλους για τις μονάδες που τ</w:t>
      </w:r>
      <w:r w:rsidR="00CF5BB6">
        <w:rPr>
          <w:lang w:val="el-GR"/>
        </w:rPr>
        <w:t>ον</w:t>
      </w:r>
      <w:r>
        <w:t xml:space="preserve"> </w:t>
      </w:r>
      <w:r w:rsidR="00CF5BB6">
        <w:rPr>
          <w:lang w:val="el-GR"/>
        </w:rPr>
        <w:t>συστήνουν</w:t>
      </w:r>
      <w:r>
        <w:t>, τ</w:t>
      </w:r>
      <w:r w:rsidR="00CF5BB6">
        <w:rPr>
          <w:lang w:val="el-GR"/>
        </w:rPr>
        <w:t>ον</w:t>
      </w:r>
      <w:r>
        <w:t xml:space="preserve"> ελέγχουν ή τ</w:t>
      </w:r>
      <w:r w:rsidR="00CF5BB6">
        <w:rPr>
          <w:lang w:val="el-GR"/>
        </w:rPr>
        <w:t>ον</w:t>
      </w:r>
      <w:r>
        <w:t xml:space="preserve"> χρηματοδοτούν. Όταν οι παραγωγικές του δραστηριότητες παράγουν πλεονάσματα, τα πλεονάσματα αυτά δεν μπορούν να ιδιοποιηθούν</w:t>
      </w:r>
      <w:r w:rsidR="00CF5BB6">
        <w:rPr>
          <w:lang w:val="el-GR"/>
        </w:rPr>
        <w:t xml:space="preserve"> από</w:t>
      </w:r>
      <w:r>
        <w:t xml:space="preserve"> άλλες θεσμικές μονάδες». Δεν απαιτείται ειδική άδεια ή εγγραφή βάσει εθνικ</w:t>
      </w:r>
      <w:r w:rsidR="00CF5BB6">
        <w:rPr>
          <w:lang w:val="el-GR"/>
        </w:rPr>
        <w:t>ού</w:t>
      </w:r>
      <w:r>
        <w:t xml:space="preserve"> ή της ενωσιακ</w:t>
      </w:r>
      <w:r w:rsidR="00CF5BB6">
        <w:rPr>
          <w:lang w:val="el-GR"/>
        </w:rPr>
        <w:t>ού δικαίου</w:t>
      </w:r>
      <w:r>
        <w:t xml:space="preserve">. Το καταστατικό ή η πράξη σύστασης του αιτούντος ή οποιοδήποτε ισοδύναμο επίσημο έγγραφο </w:t>
      </w:r>
      <w:r w:rsidR="00CF5BB6">
        <w:rPr>
          <w:lang w:val="el-GR"/>
        </w:rPr>
        <w:t xml:space="preserve">επαρκεί </w:t>
      </w:r>
      <w:r>
        <w:t>ως απόδειξη του μη κερδοσκοπικού χαρακτήρα.</w:t>
      </w:r>
    </w:p>
    <w:p w14:paraId="66506B37" w14:textId="77777777" w:rsidR="0022218F" w:rsidRDefault="0022218F"/>
    <w:p w14:paraId="4E27E9E7" w14:textId="7AECDF5F" w:rsidR="0022218F" w:rsidRDefault="003A3282">
      <w:pPr>
        <w:pStyle w:val="P68B1DB1-ListParagraph2"/>
        <w:numPr>
          <w:ilvl w:val="0"/>
          <w:numId w:val="1"/>
        </w:numPr>
        <w:rPr>
          <w:bCs/>
        </w:rPr>
      </w:pPr>
      <w:r>
        <w:t xml:space="preserve">Ποιες μορφές </w:t>
      </w:r>
      <w:r w:rsidR="00CF5BB6">
        <w:rPr>
          <w:lang w:val="el-GR"/>
        </w:rPr>
        <w:t>σύμπραξης</w:t>
      </w:r>
      <w:r w:rsidR="00CF5BB6">
        <w:t xml:space="preserve"> </w:t>
      </w:r>
      <w:r>
        <w:t>είναι αποδεκτές;</w:t>
      </w:r>
    </w:p>
    <w:p w14:paraId="1F23BF41" w14:textId="3BE30290" w:rsidR="0022218F" w:rsidRPr="003A3282" w:rsidRDefault="003A3282" w:rsidP="003A3282">
      <w:pPr>
        <w:ind w:left="360"/>
        <w:rPr>
          <w:lang w:val="en-IE"/>
        </w:rPr>
      </w:pPr>
      <w:r>
        <w:t xml:space="preserve">Το τμήμα 3 των </w:t>
      </w:r>
      <w:r w:rsidR="00CF5BB6">
        <w:rPr>
          <w:lang w:val="el-GR"/>
        </w:rPr>
        <w:t>Οδηγιών</w:t>
      </w:r>
      <w:r>
        <w:t xml:space="preserve"> </w:t>
      </w:r>
      <w:r w:rsidR="00CF5BB6">
        <w:rPr>
          <w:lang w:val="el-GR"/>
        </w:rPr>
        <w:t>της</w:t>
      </w:r>
      <w:r>
        <w:t xml:space="preserve"> πρόσκληση</w:t>
      </w:r>
      <w:r w:rsidR="00CF5BB6">
        <w:rPr>
          <w:lang w:val="el-GR"/>
        </w:rPr>
        <w:t>ς</w:t>
      </w:r>
      <w:r>
        <w:t xml:space="preserve"> εξηγεί τον τρόπο με τον οποίο οι επιλέξιμοι αιτούντες μπορούν να υποβάλουν αίτηση για επιχορήγηση, συμπεριλαμβανομένης της </w:t>
      </w:r>
      <w:r w:rsidR="00CF5BB6">
        <w:rPr>
          <w:lang w:val="el-GR"/>
        </w:rPr>
        <w:t>δυνατότητας πολλών φορέων να σχηματίσουν έναν ενιαίο</w:t>
      </w:r>
      <w:r>
        <w:t xml:space="preserve"> αιτούντα.</w:t>
      </w:r>
    </w:p>
    <w:p w14:paraId="206FF840" w14:textId="77777777" w:rsidR="0022218F" w:rsidRDefault="0022218F">
      <w:pPr>
        <w:pStyle w:val="ListParagraph"/>
      </w:pPr>
    </w:p>
    <w:p w14:paraId="6F1D495F" w14:textId="77777777" w:rsidR="0022218F" w:rsidRDefault="003A3282">
      <w:pPr>
        <w:pStyle w:val="P68B1DB1-ListParagraph2"/>
        <w:numPr>
          <w:ilvl w:val="0"/>
          <w:numId w:val="1"/>
        </w:numPr>
        <w:rPr>
          <w:bCs/>
        </w:rPr>
      </w:pPr>
      <w:r>
        <w:t xml:space="preserve">Τι είδους δραστηριότητες θεωρούνται επιλέξιμες; </w:t>
      </w:r>
    </w:p>
    <w:p w14:paraId="7C2974B3" w14:textId="76B980AC" w:rsidR="0022218F" w:rsidRDefault="00CF5BB6">
      <w:pPr>
        <w:ind w:left="360"/>
        <w:rPr>
          <w:lang w:val="en-IE"/>
        </w:rPr>
      </w:pPr>
      <w:r>
        <w:rPr>
          <w:lang w:val="el-GR"/>
        </w:rPr>
        <w:t>Για</w:t>
      </w:r>
      <w:r>
        <w:t xml:space="preserve"> τις δραστηριότητες που μπορούν να χρηματοδοτηθούν, ανατρέξτε στο τμήμα 6</w:t>
      </w:r>
      <w:r w:rsidR="00C33F0E">
        <w:rPr>
          <w:lang w:val="el-GR"/>
        </w:rPr>
        <w:t xml:space="preserve"> υποενότητα </w:t>
      </w:r>
      <w:r>
        <w:t>γ</w:t>
      </w:r>
      <w:r w:rsidR="00C33F0E">
        <w:rPr>
          <w:lang w:val="el-GR"/>
        </w:rPr>
        <w:t>)</w:t>
      </w:r>
      <w:r>
        <w:t xml:space="preserve"> του εγγράφου της πρόσκλησης υποβολής προτάσεων. </w:t>
      </w:r>
    </w:p>
    <w:p w14:paraId="368FC77A" w14:textId="77777777" w:rsidR="003A3282" w:rsidRPr="003A3282" w:rsidRDefault="003A3282">
      <w:pPr>
        <w:ind w:left="360"/>
        <w:rPr>
          <w:lang w:val="en-IE"/>
        </w:rPr>
      </w:pPr>
    </w:p>
    <w:p w14:paraId="2A44BEB6" w14:textId="62E69534" w:rsidR="0022218F" w:rsidRDefault="003A3282">
      <w:pPr>
        <w:pStyle w:val="ListParagraph"/>
        <w:numPr>
          <w:ilvl w:val="0"/>
          <w:numId w:val="1"/>
        </w:numPr>
        <w:rPr>
          <w:b/>
          <w:bCs/>
        </w:rPr>
      </w:pPr>
      <w:r>
        <w:rPr>
          <w:b/>
        </w:rPr>
        <w:t xml:space="preserve">Πού </w:t>
      </w:r>
      <w:r w:rsidR="00C33F0E">
        <w:rPr>
          <w:b/>
          <w:lang w:val="el-GR"/>
        </w:rPr>
        <w:t>βρίσκεται το αρχείο</w:t>
      </w:r>
      <w:r>
        <w:rPr>
          <w:b/>
        </w:rPr>
        <w:t xml:space="preserve"> προϋπολογισμού;</w:t>
      </w:r>
      <w:r>
        <w:t xml:space="preserve"> </w:t>
      </w:r>
      <w:r>
        <w:rPr>
          <w:b/>
        </w:rPr>
        <w:t xml:space="preserve">Τι είδους </w:t>
      </w:r>
      <w:r>
        <w:rPr>
          <w:b/>
        </w:rPr>
        <w:t>δαπάνες μπορούν να καλυφθούν από την επιχορήγηση;</w:t>
      </w:r>
    </w:p>
    <w:p w14:paraId="1C3720A3" w14:textId="543BD0F3" w:rsidR="0022218F" w:rsidRDefault="003A3282">
      <w:pPr>
        <w:ind w:left="360"/>
        <w:rPr>
          <w:lang w:val="en-IE"/>
        </w:rPr>
      </w:pPr>
      <w:r>
        <w:t xml:space="preserve">Στο τμήμα 10 </w:t>
      </w:r>
      <w:r w:rsidR="00C33F0E">
        <w:rPr>
          <w:lang w:val="el-GR"/>
        </w:rPr>
        <w:t>υποενότητες</w:t>
      </w:r>
      <w:r w:rsidR="00C33F0E">
        <w:t xml:space="preserve"> </w:t>
      </w:r>
      <w:r>
        <w:t>β</w:t>
      </w:r>
      <w:r w:rsidR="00C33F0E">
        <w:rPr>
          <w:lang w:val="el-GR"/>
        </w:rPr>
        <w:t>)</w:t>
      </w:r>
      <w:r>
        <w:t xml:space="preserve"> και γ</w:t>
      </w:r>
      <w:r w:rsidR="00C33F0E">
        <w:rPr>
          <w:lang w:val="el-GR"/>
        </w:rPr>
        <w:t>)</w:t>
      </w:r>
      <w:r>
        <w:t xml:space="preserve"> της πρόσκλησης υποβολής προτάσεων αναφέρεται ότι η μορφή της επιχορήγησης είναι χρηματοδότηση που δεν συνδέεται με δαπάνες και περιγράφονται οι όροι πληρωμής. Θα επιστραφεί κατ’ αποκοπή ποσό ύψους 50.000 ευρώ. Το πλήρες ποσό της συνεισφοράς της </w:t>
      </w:r>
      <w:r w:rsidR="00C33F0E">
        <w:rPr>
          <w:lang w:val="el-GR"/>
        </w:rPr>
        <w:t xml:space="preserve">Ευρωπαϊκής </w:t>
      </w:r>
      <w:r>
        <w:t xml:space="preserve">Ένωσης </w:t>
      </w:r>
      <w:r w:rsidR="00C33F0E">
        <w:rPr>
          <w:lang w:val="el-GR"/>
        </w:rPr>
        <w:t>θα καταβληθεί</w:t>
      </w:r>
      <w:r w:rsidR="00C33F0E">
        <w:t xml:space="preserve"> </w:t>
      </w:r>
      <w:r>
        <w:t xml:space="preserve">υπό την προϋπόθεση ότι </w:t>
      </w:r>
      <w:r w:rsidR="00C33F0E">
        <w:t xml:space="preserve">υλοποιούνται </w:t>
      </w:r>
      <w:r>
        <w:t xml:space="preserve">οι δραστηριότητες που </w:t>
      </w:r>
      <w:r w:rsidR="00C33F0E">
        <w:rPr>
          <w:lang w:val="el-GR"/>
        </w:rPr>
        <w:t>προτάθηκαν</w:t>
      </w:r>
      <w:r w:rsidR="00C33F0E">
        <w:t xml:space="preserve"> </w:t>
      </w:r>
      <w:r>
        <w:t xml:space="preserve">στην αίτηση που </w:t>
      </w:r>
      <w:r w:rsidR="00C33F0E">
        <w:rPr>
          <w:lang w:val="el-GR"/>
        </w:rPr>
        <w:t>υποβλήθηκε</w:t>
      </w:r>
      <w:r w:rsidR="00C33F0E">
        <w:t xml:space="preserve"> </w:t>
      </w:r>
      <w:r>
        <w:t xml:space="preserve">και </w:t>
      </w:r>
      <w:r w:rsidR="00C33F0E">
        <w:rPr>
          <w:lang w:val="el-GR"/>
        </w:rPr>
        <w:t>επισυνάφθηκαν</w:t>
      </w:r>
      <w:r w:rsidR="00C33F0E">
        <w:t xml:space="preserve"> </w:t>
      </w:r>
      <w:r>
        <w:t>στη συμφωνία επιχορήγησης.  </w:t>
      </w:r>
    </w:p>
    <w:p w14:paraId="2913A1DF" w14:textId="77777777" w:rsidR="003A3282" w:rsidRPr="003A3282" w:rsidRDefault="003A3282">
      <w:pPr>
        <w:ind w:left="360"/>
        <w:rPr>
          <w:lang w:val="en-IE"/>
        </w:rPr>
      </w:pPr>
    </w:p>
    <w:p w14:paraId="67620799" w14:textId="15CBD518" w:rsidR="0022218F" w:rsidRDefault="003A3282">
      <w:pPr>
        <w:pStyle w:val="P68B1DB1-ListParagraph2"/>
        <w:numPr>
          <w:ilvl w:val="0"/>
          <w:numId w:val="1"/>
        </w:numPr>
        <w:rPr>
          <w:bCs/>
        </w:rPr>
      </w:pPr>
      <w:r>
        <w:t xml:space="preserve">Επιτρέπεται η υπεργολαβία; Τι είδους </w:t>
      </w:r>
      <w:r w:rsidR="00C33F0E">
        <w:rPr>
          <w:lang w:val="el-GR"/>
        </w:rPr>
        <w:t>φορείς</w:t>
      </w:r>
      <w:r w:rsidR="00C33F0E">
        <w:t xml:space="preserve"> </w:t>
      </w:r>
      <w:r>
        <w:t>μπορούν να είναι υπεργολάβοι;</w:t>
      </w:r>
    </w:p>
    <w:p w14:paraId="68E78C31" w14:textId="44B6E12F" w:rsidR="0022218F" w:rsidRDefault="003A3282">
      <w:pPr>
        <w:ind w:left="360"/>
        <w:rPr>
          <w:lang w:val="en-IE"/>
        </w:rPr>
      </w:pPr>
      <w:r>
        <w:t>Όπως περιγράφεται στο τμήμα 6</w:t>
      </w:r>
      <w:r w:rsidR="00C33F0E">
        <w:rPr>
          <w:lang w:val="el-GR"/>
        </w:rPr>
        <w:t xml:space="preserve"> υποενότητα </w:t>
      </w:r>
      <w:r>
        <w:t>β</w:t>
      </w:r>
      <w:r w:rsidR="00C33F0E">
        <w:rPr>
          <w:lang w:val="el-GR"/>
        </w:rPr>
        <w:t>)</w:t>
      </w:r>
      <w:r>
        <w:t xml:space="preserve"> της πρόσκλησης υποβολής προτάσεων και στο τμήμα 3.3 των </w:t>
      </w:r>
      <w:r w:rsidR="00C33F0E">
        <w:rPr>
          <w:lang w:val="el-GR"/>
        </w:rPr>
        <w:t xml:space="preserve">Οδηγιών </w:t>
      </w:r>
      <w:r>
        <w:t xml:space="preserve">της πρόσκλησης, η υπεργολαβία είναι δυνατή </w:t>
      </w:r>
      <w:r w:rsidR="00C33F0E">
        <w:rPr>
          <w:lang w:val="el-GR"/>
        </w:rPr>
        <w:t>εφόσον είναι αναγκαία</w:t>
      </w:r>
      <w:r>
        <w:t xml:space="preserve">. </w:t>
      </w:r>
      <w:r w:rsidR="00C33F0E">
        <w:rPr>
          <w:lang w:val="el-GR"/>
        </w:rPr>
        <w:t>Κ</w:t>
      </w:r>
      <w:r>
        <w:t xml:space="preserve">ανονικά </w:t>
      </w:r>
      <w:r w:rsidR="00C33F0E">
        <w:rPr>
          <w:lang w:val="el-GR"/>
        </w:rPr>
        <w:t xml:space="preserve">θα πρέπει </w:t>
      </w:r>
      <w:r>
        <w:t xml:space="preserve">να αποτελεί περιορισμένο μέρος (όχι περισσότερο από 30 %) των δραστηριοτήτων και πρέπει να </w:t>
      </w:r>
      <w:r w:rsidR="00C33F0E">
        <w:rPr>
          <w:lang w:val="el-GR"/>
        </w:rPr>
        <w:t>εκτελείται</w:t>
      </w:r>
      <w:r w:rsidR="00C33F0E">
        <w:t xml:space="preserve"> </w:t>
      </w:r>
      <w:r>
        <w:t xml:space="preserve">από τρίτους (όχι από τον αιτούντα), ανεξάρτητα από </w:t>
      </w:r>
      <w:r w:rsidR="00C33F0E">
        <w:rPr>
          <w:lang w:val="el-GR"/>
        </w:rPr>
        <w:t>τον τύπο των φορέων</w:t>
      </w:r>
      <w:r>
        <w:t>. Εφόσον οι εν λόγω εξωτερικοί φορείς δεν είναι δικαιούχοι, μπορούν να είναι υπεργολάβοι.</w:t>
      </w:r>
    </w:p>
    <w:p w14:paraId="0CE468DE" w14:textId="77777777" w:rsidR="003A3282" w:rsidRPr="003A3282" w:rsidRDefault="003A3282">
      <w:pPr>
        <w:ind w:left="360"/>
        <w:rPr>
          <w:lang w:val="en-IE"/>
        </w:rPr>
      </w:pPr>
    </w:p>
    <w:p w14:paraId="712D23BB" w14:textId="4E62174A" w:rsidR="0022218F" w:rsidRDefault="003A3282">
      <w:pPr>
        <w:pStyle w:val="P68B1DB1-ListParagraph2"/>
        <w:numPr>
          <w:ilvl w:val="0"/>
          <w:numId w:val="1"/>
        </w:numPr>
        <w:rPr>
          <w:bCs/>
        </w:rPr>
      </w:pPr>
      <w:r>
        <w:t xml:space="preserve">Στην πρόσκληση υποβολής προτάσεων αναφέρεται ότι «δεν επιτρέπεται η χρηματοδοτική στήριξη σε τρίτους». Τι ακριβώς σημαίνει αυτό; </w:t>
      </w:r>
    </w:p>
    <w:p w14:paraId="64DA7745" w14:textId="21294C44" w:rsidR="0022218F" w:rsidRDefault="003A3282">
      <w:pPr>
        <w:ind w:left="360"/>
        <w:rPr>
          <w:lang w:val="en-IE"/>
        </w:rPr>
      </w:pPr>
      <w:r>
        <w:t xml:space="preserve">Η δήλωση «Δεν επιτρέπεται η χρηματοδοτική στήριξη σε τρίτους» σημαίνει ότι δεν επιτρέπεται η κλιμακωτή χρηματοδότηση (συγκεκριμένο είδος ενωσιακής χρηματοδότησης στο πλαίσιο της οποίας οι δικαιούχοι μπορούν να δημοσιεύουν προσκλήσεις υποβολής προτάσεων για άλλους αποδέκτες κατάντη). </w:t>
      </w:r>
    </w:p>
    <w:p w14:paraId="76284041" w14:textId="77777777" w:rsidR="003A3282" w:rsidRPr="003A3282" w:rsidRDefault="003A3282">
      <w:pPr>
        <w:ind w:left="360"/>
        <w:rPr>
          <w:lang w:val="en-IE"/>
        </w:rPr>
      </w:pPr>
    </w:p>
    <w:p w14:paraId="799A8C45" w14:textId="65B89970" w:rsidR="0022218F" w:rsidRDefault="003A3282">
      <w:pPr>
        <w:pStyle w:val="P68B1DB1-ListParagraph2"/>
        <w:numPr>
          <w:ilvl w:val="0"/>
          <w:numId w:val="1"/>
        </w:numPr>
        <w:rPr>
          <w:bCs/>
        </w:rPr>
      </w:pPr>
      <w:r>
        <w:t>Θα μπορούσατε να επιβεβαιώσετε αν η ίδια ΜΚΟ επιτρέπεται να υποβάλει περισσότερες από μία προτάσεις στο πλαίσιο της παρούσας πρόσκλησης, υπό την προϋπόθεση ότι οι προτάσεις είναι διακριτές και ανταποκρίνονται στους στόχους της πρόσκλησης με διαφορετικούς τρόπους;</w:t>
      </w:r>
    </w:p>
    <w:p w14:paraId="40FDFA80" w14:textId="29014A39" w:rsidR="0022218F" w:rsidRDefault="003A3282">
      <w:pPr>
        <w:ind w:left="360"/>
        <w:rPr>
          <w:lang w:val="en-IE"/>
        </w:rPr>
      </w:pPr>
      <w:r>
        <w:t xml:space="preserve">Δεν υπάρχει περιορισμός στον αριθμό των προτάσεων που μπορεί να υποβάλει ένας συγκεκριμένος οργανισμός, υπό την προϋπόθεση ότι τηρούνται τα κριτήρια επιλεξιμότητας και όλοι οι </w:t>
      </w:r>
      <w:r w:rsidR="00C33F0E">
        <w:rPr>
          <w:lang w:val="el-GR"/>
        </w:rPr>
        <w:t>λοιποί</w:t>
      </w:r>
      <w:r w:rsidR="00C33F0E">
        <w:t xml:space="preserve"> </w:t>
      </w:r>
      <w:r>
        <w:t xml:space="preserve">όροι που ορίζονται στην πρόσκληση υποβολής προτάσεων και </w:t>
      </w:r>
      <w:r w:rsidR="00C33F0E">
        <w:rPr>
          <w:lang w:val="el-GR"/>
        </w:rPr>
        <w:t>στις Οδηγίες</w:t>
      </w:r>
      <w:r>
        <w:t xml:space="preserve"> της πρόσκλησης.</w:t>
      </w:r>
    </w:p>
    <w:p w14:paraId="3DFEC3C3" w14:textId="77777777" w:rsidR="003A3282" w:rsidRPr="003A3282" w:rsidRDefault="003A3282">
      <w:pPr>
        <w:ind w:left="360"/>
        <w:rPr>
          <w:lang w:val="en-IE"/>
        </w:rPr>
      </w:pPr>
    </w:p>
    <w:p w14:paraId="741770E6" w14:textId="318936D0" w:rsidR="0022218F" w:rsidRDefault="003A3282">
      <w:pPr>
        <w:pStyle w:val="P68B1DB1-ListParagraph2"/>
        <w:numPr>
          <w:ilvl w:val="0"/>
          <w:numId w:val="1"/>
        </w:numPr>
        <w:rPr>
          <w:bCs/>
        </w:rPr>
      </w:pPr>
      <w:r>
        <w:t>Θα μπορούσατε επίσης να επιβεβαιώσετε αν οι δραστηριότητες γραμματισμού στα μέσα επικοινωνίας μπορούν να επικεντρ</w:t>
      </w:r>
      <w:r w:rsidR="00C33F0E">
        <w:rPr>
          <w:lang w:val="el-GR"/>
        </w:rPr>
        <w:t>ώνονται</w:t>
      </w:r>
      <w:r>
        <w:t xml:space="preserve"> σε συγκεκριμένο θεματικό τομέα, όπως οι αντιλήψεις και τα στερεότυπα που σχετίζονται με τις θέσεις εργασίας, τη σταδιοδρομία και την επαγγελματική εκπαίδευση, εφόσον οι δραστηριότητες αφορούν σαφώς τον γραμματισμό στα μέσα επικοινωνίας, την κριτική σκέψη και τον διάλογο μεταξύ των γενεών;</w:t>
      </w:r>
    </w:p>
    <w:p w14:paraId="563E1F74" w14:textId="12CF7C07" w:rsidR="0022218F" w:rsidRDefault="003A3282">
      <w:pPr>
        <w:ind w:left="360"/>
      </w:pPr>
      <w:r>
        <w:t>Σε απάντηση στ</w:t>
      </w:r>
      <w:r w:rsidR="00C33F0E">
        <w:rPr>
          <w:lang w:val="el-GR"/>
        </w:rPr>
        <w:t xml:space="preserve">ο ερώτημά </w:t>
      </w:r>
      <w:r>
        <w:t>σας, επισημαίνουμε ότι οι αιτούντες είναι υπεύθυνοι να αποδείξουν ότι οι δραστηριότητες που προτείνουν πληρούν τις απαιτήσεις επιλεξιμότητας που περιγράφονται στ</w:t>
      </w:r>
      <w:r w:rsidR="00C33F0E">
        <w:rPr>
          <w:lang w:val="el-GR"/>
        </w:rPr>
        <w:t xml:space="preserve">ο τμήμα </w:t>
      </w:r>
      <w:r>
        <w:t xml:space="preserve">6 </w:t>
      </w:r>
      <w:r w:rsidR="00C33F0E">
        <w:rPr>
          <w:lang w:val="el-GR"/>
        </w:rPr>
        <w:t>εποενότητα</w:t>
      </w:r>
      <w:r w:rsidR="00C33F0E">
        <w:t xml:space="preserve"> </w:t>
      </w:r>
      <w:r>
        <w:t>γ) της πρόσκλησης υποβολής προτάσεων και ότι συνάδουν με τους στόχους που περιγράφονται στ</w:t>
      </w:r>
      <w:r w:rsidR="00C33F0E">
        <w:rPr>
          <w:lang w:val="el-GR"/>
        </w:rPr>
        <w:t xml:space="preserve">ο τμήμα </w:t>
      </w:r>
      <w:r>
        <w:t xml:space="preserve">2 </w:t>
      </w:r>
      <w:r w:rsidR="00C33F0E">
        <w:rPr>
          <w:lang w:val="el-GR"/>
        </w:rPr>
        <w:t>υποενότητα</w:t>
      </w:r>
      <w:r>
        <w:t xml:space="preserve"> α) της πρόσκλησης. Η συμμόρφωση θα αξιολογηθεί όπως εξηγείται στο τμήμα 8 της πρόσκλησης υποβολής προτάσεων.  </w:t>
      </w:r>
    </w:p>
    <w:p w14:paraId="6E8EC959" w14:textId="3664DB34" w:rsidR="0022218F" w:rsidRDefault="003A3282">
      <w:pPr>
        <w:ind w:left="360"/>
      </w:pPr>
      <w:r>
        <w:t>Αντιλαμβανόμαστε τον γραμματισμό στα μέσα επικοινωνίας ως μια δυναμική έννοια που εξελίσσεται μαζί με την τεχνολογία και την κοινωνία και ότι μπορεί να σημαίνει διαφορετικά πράγματα για διαφορετικές χώρες και ενδιαφερόμεν</w:t>
      </w:r>
      <w:r w:rsidR="00C33F0E">
        <w:rPr>
          <w:lang w:val="el-GR"/>
        </w:rPr>
        <w:t>ους φορείς</w:t>
      </w:r>
      <w:r>
        <w:t xml:space="preserve">. Θεωρούμε ότι η ανάπτυξη της κριτικής σκέψης από τον χρήστη αποτελεί βασικό </w:t>
      </w:r>
      <w:r w:rsidR="00C33F0E">
        <w:rPr>
          <w:lang w:val="el-GR"/>
        </w:rPr>
        <w:t>συνδετικό κρίκο</w:t>
      </w:r>
      <w:r w:rsidR="00C33F0E">
        <w:t xml:space="preserve"> </w:t>
      </w:r>
      <w:r>
        <w:t xml:space="preserve">μεταξύ των </w:t>
      </w:r>
      <w:r w:rsidR="00C33F0E">
        <w:rPr>
          <w:lang w:val="el-GR"/>
        </w:rPr>
        <w:t>διαφορετικών</w:t>
      </w:r>
      <w:r w:rsidR="00C33F0E">
        <w:t xml:space="preserve"> </w:t>
      </w:r>
      <w:r>
        <w:t>πτυχών του γραμματισμού στα μέσα επικοινωνίας.</w:t>
      </w:r>
    </w:p>
    <w:p w14:paraId="663350B7" w14:textId="77777777" w:rsidR="0022218F" w:rsidRDefault="0022218F">
      <w:pPr>
        <w:ind w:left="360"/>
        <w:rPr>
          <w:highlight w:val="yellow"/>
        </w:rPr>
      </w:pPr>
    </w:p>
    <w:p w14:paraId="47804B08" w14:textId="73A54453" w:rsidR="0022218F" w:rsidRDefault="006B4605">
      <w:pPr>
        <w:pStyle w:val="P68B1DB1-ListParagraph2"/>
        <w:numPr>
          <w:ilvl w:val="0"/>
          <w:numId w:val="1"/>
        </w:numPr>
        <w:rPr>
          <w:bCs/>
        </w:rPr>
      </w:pPr>
      <w:r>
        <w:rPr>
          <w:lang w:val="el-GR"/>
        </w:rPr>
        <w:t>Θ</w:t>
      </w:r>
      <w:r>
        <w:t>εωρούνται επιλέξιμες και υποστηρ</w:t>
      </w:r>
      <w:r>
        <w:rPr>
          <w:lang w:val="el-GR"/>
        </w:rPr>
        <w:t>ιζόμενες</w:t>
      </w:r>
      <w:r>
        <w:t xml:space="preserve"> δραστηριότητες που περιλαμβάνουν τη χρήση τεχνητής νοημοσύνης  στο πλαίσιο έργων γραμματισμού στα μέσα επικοινωνίας </w:t>
      </w:r>
      <w:r>
        <w:rPr>
          <w:lang w:val="el-GR"/>
        </w:rPr>
        <w:t>από το</w:t>
      </w:r>
      <w:r>
        <w:t xml:space="preserve"> παρόν χρηματοδοτικ</w:t>
      </w:r>
      <w:r>
        <w:rPr>
          <w:lang w:val="el-GR"/>
        </w:rPr>
        <w:t>ό</w:t>
      </w:r>
      <w:r>
        <w:t xml:space="preserve"> πρ</w:t>
      </w:r>
      <w:r>
        <w:rPr>
          <w:lang w:val="el-GR"/>
        </w:rPr>
        <w:t>όγραμμα</w:t>
      </w:r>
      <w:r>
        <w:t xml:space="preserve">; Εάν ναι, θα εκτιμούσαμε επίσης κάθε </w:t>
      </w:r>
      <w:r>
        <w:lastRenderedPageBreak/>
        <w:t xml:space="preserve">καθοδήγηση σχετικά με τους περιορισμούς, τις προϋποθέσεις ή τις ειδικές απαιτήσεις που σχετίζονται με τη χρήση της </w:t>
      </w:r>
      <w:r>
        <w:rPr>
          <w:lang w:val="el-GR"/>
        </w:rPr>
        <w:t>Τεχνητής Νοημοσύνης</w:t>
      </w:r>
      <w:r>
        <w:t xml:space="preserve"> (π.χ. δεοντολογικές </w:t>
      </w:r>
      <w:r>
        <w:rPr>
          <w:lang w:val="el-GR"/>
        </w:rPr>
        <w:t>δικλίδες ασφαλείας</w:t>
      </w:r>
      <w:r>
        <w:t xml:space="preserve">, διαφάνεια ή ζητήματα προστασίας δεδομένων). </w:t>
      </w:r>
    </w:p>
    <w:p w14:paraId="1DD75C83" w14:textId="7C9AA925" w:rsidR="0022218F" w:rsidRDefault="003A3282">
      <w:pPr>
        <w:ind w:left="360"/>
      </w:pPr>
      <w:r>
        <w:t>Σε απάντηση στ</w:t>
      </w:r>
      <w:r w:rsidR="006B4605">
        <w:rPr>
          <w:lang w:val="el-GR"/>
        </w:rPr>
        <w:t>ο</w:t>
      </w:r>
      <w:r>
        <w:t xml:space="preserve"> ερώτη</w:t>
      </w:r>
      <w:r w:rsidR="006B4605">
        <w:rPr>
          <w:lang w:val="el-GR"/>
        </w:rPr>
        <w:t xml:space="preserve">μά </w:t>
      </w:r>
      <w:r>
        <w:t>σας, επισημαίνουμε ότι οι αιτούντες είναι υπεύθυνοι να αποδείξουν ότι οι δραστηριότητες που προτείνουν πληρούν τις απαιτήσεις επιλεξιμότητας που περιγράφονται στ</w:t>
      </w:r>
      <w:r w:rsidR="006B4605">
        <w:rPr>
          <w:lang w:val="el-GR"/>
        </w:rPr>
        <w:t xml:space="preserve">ο τμήμα </w:t>
      </w:r>
      <w:r>
        <w:t xml:space="preserve">6 </w:t>
      </w:r>
      <w:r w:rsidR="006B4605">
        <w:rPr>
          <w:lang w:val="el-GR"/>
        </w:rPr>
        <w:t>υποενότητα</w:t>
      </w:r>
      <w:r w:rsidR="006B4605">
        <w:t xml:space="preserve"> </w:t>
      </w:r>
      <w:r>
        <w:t>γ) της πρόσκλησης υποβολής προτάσεων και ότι συνάδουν με τους στόχους που περιγράφονται στ</w:t>
      </w:r>
      <w:r w:rsidR="006B4605">
        <w:rPr>
          <w:lang w:val="el-GR"/>
        </w:rPr>
        <w:t xml:space="preserve">ο τμήμα </w:t>
      </w:r>
      <w:r>
        <w:t xml:space="preserve">2 </w:t>
      </w:r>
      <w:r w:rsidR="006B4605">
        <w:rPr>
          <w:lang w:val="el-GR"/>
        </w:rPr>
        <w:t>υποενότητα</w:t>
      </w:r>
      <w:r w:rsidR="006B4605">
        <w:t xml:space="preserve"> </w:t>
      </w:r>
      <w:r>
        <w:t>α) της πρόσκλησης. Η συμμόρφωση θα αξιολογηθεί όπως εξηγείται στο τμήμα 8 της πρόσκλησης υποβολής προτάσεων.</w:t>
      </w:r>
    </w:p>
    <w:p w14:paraId="713D6A90" w14:textId="77777777" w:rsidR="006B4605" w:rsidRDefault="006B4605" w:rsidP="006B4605">
      <w:pPr>
        <w:ind w:left="360"/>
      </w:pPr>
      <w:r>
        <w:t>Αντιλαμβανόμαστε τον γραμματισμό στα μέσα επικοινωνίας ως μια δυναμική έννοια που εξελίσσεται μαζί με την τεχνολογία και την κοινωνία και ότι μπορεί να σημαίνει διαφορετικά πράγματα για διαφορετικές χώρες και ενδιαφερόμεν</w:t>
      </w:r>
      <w:r>
        <w:rPr>
          <w:lang w:val="el-GR"/>
        </w:rPr>
        <w:t>ους φορείς</w:t>
      </w:r>
      <w:r>
        <w:t xml:space="preserve">. Θεωρούμε ότι η ανάπτυξη της κριτικής σκέψης από τον χρήστη αποτελεί βασικό </w:t>
      </w:r>
      <w:r>
        <w:rPr>
          <w:lang w:val="el-GR"/>
        </w:rPr>
        <w:t>συνδετικό κρίκο</w:t>
      </w:r>
      <w:r>
        <w:t xml:space="preserve"> μεταξύ των </w:t>
      </w:r>
      <w:r>
        <w:rPr>
          <w:lang w:val="el-GR"/>
        </w:rPr>
        <w:t>διαφορετικών</w:t>
      </w:r>
      <w:r>
        <w:t xml:space="preserve"> πτυχών του γραμματισμού στα μέσα επικοινωνίας.</w:t>
      </w:r>
    </w:p>
    <w:p w14:paraId="54EDC9A5" w14:textId="413AEDAE" w:rsidR="0022218F" w:rsidRDefault="003A3282">
      <w:pPr>
        <w:ind w:left="360"/>
      </w:pPr>
      <w:r>
        <w:t>Είναι αυτονόητο ότι ο</w:t>
      </w:r>
      <w:r w:rsidR="006B4605">
        <w:rPr>
          <w:lang w:val="el-GR"/>
        </w:rPr>
        <w:t>ποιεσδήποτε</w:t>
      </w:r>
      <w:r>
        <w:t xml:space="preserve"> προτεινόμενες δραστηριότητες πρέπει να </w:t>
      </w:r>
      <w:r w:rsidR="006B4605">
        <w:rPr>
          <w:lang w:val="el-GR"/>
        </w:rPr>
        <w:t>συμμορφώνονται με</w:t>
      </w:r>
      <w:r w:rsidR="006B4605">
        <w:t xml:space="preserve"> </w:t>
      </w:r>
      <w:r>
        <w:t xml:space="preserve">τους ισχύοντες κανόνες και πολιτικές της ΕΕ. Για </w:t>
      </w:r>
      <w:r w:rsidR="006B4605">
        <w:rPr>
          <w:lang w:val="el-GR"/>
        </w:rPr>
        <w:t>αναφορά</w:t>
      </w:r>
      <w:r>
        <w:t>,</w:t>
      </w:r>
      <w:r w:rsidR="006B4605">
        <w:rPr>
          <w:lang w:val="el-GR"/>
        </w:rPr>
        <w:t xml:space="preserve"> δείτε το</w:t>
      </w:r>
      <w:r>
        <w:t xml:space="preserve"> </w:t>
      </w:r>
      <w:r w:rsidR="006B4605">
        <w:rPr>
          <w:lang w:val="el-GR"/>
        </w:rPr>
        <w:t>Π</w:t>
      </w:r>
      <w:r>
        <w:t>αράρτημα 5,</w:t>
      </w:r>
      <w:r w:rsidR="006B4605">
        <w:rPr>
          <w:lang w:val="el-GR"/>
        </w:rPr>
        <w:t xml:space="preserve"> Σ</w:t>
      </w:r>
      <w:r>
        <w:t xml:space="preserve">υμφωνία επιχορήγησης, άρθρο 11. </w:t>
      </w:r>
    </w:p>
    <w:p w14:paraId="58C5714B" w14:textId="77777777" w:rsidR="0022218F" w:rsidRDefault="0022218F">
      <w:pPr>
        <w:ind w:left="360"/>
      </w:pPr>
    </w:p>
    <w:p w14:paraId="23096E0E" w14:textId="1AAFF866" w:rsidR="0022218F" w:rsidRDefault="003A3282">
      <w:pPr>
        <w:pStyle w:val="P68B1DB1-ListParagraph2"/>
        <w:numPr>
          <w:ilvl w:val="0"/>
          <w:numId w:val="1"/>
        </w:numPr>
        <w:rPr>
          <w:bCs/>
        </w:rPr>
      </w:pPr>
      <w:r>
        <w:t xml:space="preserve">Είναι απαραίτητο να </w:t>
      </w:r>
      <w:r w:rsidR="006B4605">
        <w:rPr>
          <w:lang w:val="el-GR"/>
        </w:rPr>
        <w:t>προσκομισθούν</w:t>
      </w:r>
      <w:r w:rsidR="006B4605">
        <w:t xml:space="preserve"> </w:t>
      </w:r>
      <w:r w:rsidR="006B4605">
        <w:rPr>
          <w:lang w:val="el-GR"/>
        </w:rPr>
        <w:t>αποδείξεις</w:t>
      </w:r>
      <w:r w:rsidR="006B4605">
        <w:t xml:space="preserve"> </w:t>
      </w:r>
      <w:r>
        <w:t xml:space="preserve">πληρωμής για όλες τις δαπάνες που θα </w:t>
      </w:r>
      <w:r w:rsidR="006B4605">
        <w:rPr>
          <w:lang w:val="el-GR"/>
        </w:rPr>
        <w:t>πραγματοποιηθούν</w:t>
      </w:r>
      <w:r w:rsidR="006B4605">
        <w:t xml:space="preserve"> </w:t>
      </w:r>
      <w:r>
        <w:t xml:space="preserve">κατά τη διάρκεια του κύκλου ζωής του έργου ή είναι δυνατόν να </w:t>
      </w:r>
      <w:r w:rsidR="006B4605">
        <w:rPr>
          <w:lang w:val="el-GR"/>
        </w:rPr>
        <w:t>προσκομισθούν</w:t>
      </w:r>
      <w:r>
        <w:t xml:space="preserve"> ορισμένα τιμολόγια, αλλά </w:t>
      </w:r>
      <w:r w:rsidR="006B4605">
        <w:rPr>
          <w:lang w:val="el-GR"/>
        </w:rPr>
        <w:t xml:space="preserve">να ολοκληρωθούν οι </w:t>
      </w:r>
      <w:r>
        <w:t>πληρωμές αυτών των τιμολογίων μετά την ολοκλήρωση του έργου;</w:t>
      </w:r>
    </w:p>
    <w:p w14:paraId="5087254E" w14:textId="0ACF3208" w:rsidR="0022218F" w:rsidRDefault="0022218F">
      <w:pPr>
        <w:pStyle w:val="ListParagraph"/>
      </w:pPr>
    </w:p>
    <w:p w14:paraId="15B2F165" w14:textId="110D1A87" w:rsidR="0022218F" w:rsidRPr="003A3282" w:rsidRDefault="003A3282">
      <w:pPr>
        <w:pStyle w:val="ListParagraph"/>
        <w:ind w:left="360"/>
      </w:pPr>
      <w:r>
        <w:t xml:space="preserve">Στο τμήμα 10 </w:t>
      </w:r>
      <w:r w:rsidR="006B4605">
        <w:rPr>
          <w:lang w:val="el-GR"/>
        </w:rPr>
        <w:t>υποενότητες</w:t>
      </w:r>
      <w:r w:rsidR="006B4605">
        <w:t xml:space="preserve"> </w:t>
      </w:r>
      <w:r>
        <w:t>β</w:t>
      </w:r>
      <w:r w:rsidR="006B4605">
        <w:rPr>
          <w:lang w:val="el-GR"/>
        </w:rPr>
        <w:t>)</w:t>
      </w:r>
      <w:r>
        <w:t xml:space="preserve"> και γ</w:t>
      </w:r>
      <w:r w:rsidR="006B4605">
        <w:rPr>
          <w:lang w:val="el-GR"/>
        </w:rPr>
        <w:t xml:space="preserve">) </w:t>
      </w:r>
      <w:r>
        <w:t xml:space="preserve">της παρούσας πρόσκλησης υποβολής προτάσεων αναφέρεται ότι η μορφή της επιχορήγησης είναι χρηματοδότηση που δεν συνδέεται με δαπάνες και περιγράφονται οι όροι πληρωμής. Θα επιστραφεί κατ’ αποκοπή ποσό ύψους 50.000 ευρώ. Το πλήρες ποσό της συνεισφοράς της </w:t>
      </w:r>
      <w:r w:rsidR="006B4605">
        <w:rPr>
          <w:lang w:val="el-GR"/>
        </w:rPr>
        <w:t xml:space="preserve">Ευρωπαϊκής </w:t>
      </w:r>
      <w:r>
        <w:t xml:space="preserve">Ένωσης </w:t>
      </w:r>
      <w:r w:rsidR="006B4605">
        <w:rPr>
          <w:lang w:val="el-GR"/>
        </w:rPr>
        <w:t>θα καταβληθεί</w:t>
      </w:r>
      <w:r w:rsidR="006B4605">
        <w:t xml:space="preserve"> </w:t>
      </w:r>
      <w:r>
        <w:t xml:space="preserve">υπό την προϋπόθεση ότι </w:t>
      </w:r>
      <w:r w:rsidR="006B4605">
        <w:t xml:space="preserve">υλοποιούνται </w:t>
      </w:r>
      <w:r>
        <w:t xml:space="preserve">οι δραστηριότητες που </w:t>
      </w:r>
      <w:r w:rsidR="006B4605">
        <w:rPr>
          <w:lang w:val="el-GR"/>
        </w:rPr>
        <w:t>προτάθηκαν</w:t>
      </w:r>
      <w:r w:rsidR="006B4605">
        <w:t xml:space="preserve"> </w:t>
      </w:r>
      <w:r>
        <w:t xml:space="preserve">στην αίτηση που </w:t>
      </w:r>
      <w:r w:rsidR="006B4605">
        <w:rPr>
          <w:lang w:val="el-GR"/>
        </w:rPr>
        <w:t>υποβλήθηκε</w:t>
      </w:r>
      <w:r w:rsidR="006B4605">
        <w:t xml:space="preserve"> </w:t>
      </w:r>
      <w:r>
        <w:t xml:space="preserve">και </w:t>
      </w:r>
      <w:r w:rsidR="006B4605">
        <w:rPr>
          <w:lang w:val="el-GR"/>
        </w:rPr>
        <w:t>επισυνάφθηκαν</w:t>
      </w:r>
      <w:r w:rsidR="006B4605">
        <w:t xml:space="preserve"> </w:t>
      </w:r>
      <w:r>
        <w:t>στη συμφωνία επιχορήγησης. Ωστόσο, οι αιτούντες είναι υπεύθυνοι για την τήρηση αρχείων σχε</w:t>
      </w:r>
      <w:r>
        <w:t>τικά με όλες τις εργασίες που πραγματοποιούνται.</w:t>
      </w:r>
    </w:p>
    <w:p w14:paraId="779B42FA" w14:textId="77777777" w:rsidR="003A3282" w:rsidRPr="003A3282" w:rsidRDefault="003A3282">
      <w:pPr>
        <w:pStyle w:val="ListParagraph"/>
        <w:ind w:left="360"/>
      </w:pPr>
    </w:p>
    <w:p w14:paraId="0E283CBD" w14:textId="1D50691D" w:rsidR="0022218F" w:rsidRDefault="00763AD8">
      <w:pPr>
        <w:pStyle w:val="P68B1DB1-ListParagraph2"/>
        <w:numPr>
          <w:ilvl w:val="0"/>
          <w:numId w:val="1"/>
        </w:numPr>
        <w:rPr>
          <w:bCs/>
        </w:rPr>
      </w:pPr>
      <w:r>
        <w:rPr>
          <w:lang w:val="el-GR"/>
        </w:rPr>
        <w:t>Έχοντας εξετάσεις</w:t>
      </w:r>
      <w:r>
        <w:t xml:space="preserve"> τα έγγραφα της πρόσκλησης, κατανοούμε ότι για τους </w:t>
      </w:r>
      <w:r>
        <w:rPr>
          <w:lang w:val="el-GR"/>
        </w:rPr>
        <w:t>ενιαίους</w:t>
      </w:r>
      <w:r>
        <w:t xml:space="preserve"> αιτούντες, η υποχρέωση είναι </w:t>
      </w:r>
      <w:r>
        <w:rPr>
          <w:lang w:val="el-GR"/>
        </w:rPr>
        <w:t xml:space="preserve">όλα τα εμπλεκόμενα μέρη </w:t>
      </w:r>
      <w:r>
        <w:t>να συμμορφώνονται με τα κριτήρια επιλεξιμότητας και να υπογράφουν το συνημμένο έντυπο δήλωσης. Υπάρχουν πρόσθετες υποχρεώσεις, διοικητικής ή νομικής φύσης, για την εκπλήρωση των απαιτήσεών σας;</w:t>
      </w:r>
    </w:p>
    <w:p w14:paraId="3B5DD5FB" w14:textId="40B05022" w:rsidR="0022218F" w:rsidRDefault="003A3282">
      <w:pPr>
        <w:ind w:left="360"/>
      </w:pPr>
      <w:r>
        <w:t>Για να είναι επιλέξιμ</w:t>
      </w:r>
      <w:r w:rsidR="00763AD8">
        <w:rPr>
          <w:lang w:val="el-GR"/>
        </w:rPr>
        <w:t>οι</w:t>
      </w:r>
      <w:r>
        <w:t xml:space="preserve"> ως </w:t>
      </w:r>
      <w:r w:rsidR="00763AD8">
        <w:rPr>
          <w:lang w:val="el-GR"/>
        </w:rPr>
        <w:t>ενιαίος αιτών</w:t>
      </w:r>
      <w:r>
        <w:t xml:space="preserve">, οι </w:t>
      </w:r>
      <w:r w:rsidR="00763AD8">
        <w:rPr>
          <w:lang w:val="el-GR"/>
        </w:rPr>
        <w:t>εμπλεκόμενοι φορείς</w:t>
      </w:r>
      <w:r>
        <w:t xml:space="preserve"> πρέπει να </w:t>
      </w:r>
      <w:r w:rsidR="00763AD8">
        <w:rPr>
          <w:lang w:val="el-GR"/>
        </w:rPr>
        <w:t>συμμορφώνονται με</w:t>
      </w:r>
      <w:r w:rsidR="00763AD8">
        <w:t xml:space="preserve"> </w:t>
      </w:r>
      <w:r>
        <w:t>τους όρους που περιγράφονται στο τμήμα 6</w:t>
      </w:r>
      <w:r w:rsidR="00763AD8">
        <w:rPr>
          <w:lang w:val="el-GR"/>
        </w:rPr>
        <w:t xml:space="preserve"> υποενότητα </w:t>
      </w:r>
      <w:r>
        <w:t>β</w:t>
      </w:r>
      <w:r w:rsidR="00763AD8">
        <w:rPr>
          <w:lang w:val="el-GR"/>
        </w:rPr>
        <w:t>)</w:t>
      </w:r>
      <w:r>
        <w:t xml:space="preserve"> της πρόσκλησης υποβολής προτάσεων. Βλ. </w:t>
      </w:r>
      <w:r w:rsidR="00763AD8">
        <w:rPr>
          <w:lang w:val="el-GR"/>
        </w:rPr>
        <w:t>το τμήμα</w:t>
      </w:r>
      <w:r w:rsidR="00763AD8">
        <w:t xml:space="preserve"> </w:t>
      </w:r>
      <w:r>
        <w:t xml:space="preserve">3.2 των </w:t>
      </w:r>
      <w:r w:rsidR="00763AD8">
        <w:rPr>
          <w:lang w:val="el-GR"/>
        </w:rPr>
        <w:t>Οδηγιών</w:t>
      </w:r>
      <w:r>
        <w:t xml:space="preserve"> της πρόσκλησης για περαιτέρω πληροφορίες.</w:t>
      </w:r>
    </w:p>
    <w:p w14:paraId="265013EC" w14:textId="77777777" w:rsidR="0022218F" w:rsidRDefault="0022218F">
      <w:pPr>
        <w:pStyle w:val="ListParagraph"/>
        <w:ind w:left="360"/>
      </w:pPr>
    </w:p>
    <w:p w14:paraId="513526E5" w14:textId="6BD008C8" w:rsidR="0022218F" w:rsidRPr="00636B6C" w:rsidRDefault="003A3282">
      <w:pPr>
        <w:rPr>
          <w:lang w:val="el-GR"/>
        </w:rPr>
      </w:pPr>
      <w:r>
        <w:t xml:space="preserve"> </w:t>
      </w:r>
    </w:p>
    <w:p w14:paraId="30F9B328" w14:textId="77777777" w:rsidR="0022218F" w:rsidRDefault="0022218F">
      <w:pPr>
        <w:ind w:left="360"/>
        <w:rPr>
          <w:b/>
          <w:bCs/>
        </w:rPr>
      </w:pPr>
    </w:p>
    <w:sectPr w:rsidR="002221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B65"/>
    <w:multiLevelType w:val="multilevel"/>
    <w:tmpl w:val="32B8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9B469F"/>
    <w:multiLevelType w:val="multilevel"/>
    <w:tmpl w:val="2C9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BF59F6"/>
    <w:multiLevelType w:val="multilevel"/>
    <w:tmpl w:val="F0AE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CC4B28"/>
    <w:multiLevelType w:val="hybridMultilevel"/>
    <w:tmpl w:val="1794F5F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95793686">
    <w:abstractNumId w:val="3"/>
  </w:num>
  <w:num w:numId="2" w16cid:durableId="925848422">
    <w:abstractNumId w:val="2"/>
  </w:num>
  <w:num w:numId="3" w16cid:durableId="1857423783">
    <w:abstractNumId w:val="1"/>
  </w:num>
  <w:num w:numId="4" w16cid:durableId="235019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FDC"/>
    <w:rsid w:val="000F0133"/>
    <w:rsid w:val="0015568A"/>
    <w:rsid w:val="001B65FC"/>
    <w:rsid w:val="001D0544"/>
    <w:rsid w:val="001E7B59"/>
    <w:rsid w:val="00200FF7"/>
    <w:rsid w:val="0022218F"/>
    <w:rsid w:val="00232FE3"/>
    <w:rsid w:val="00291D8F"/>
    <w:rsid w:val="002B108E"/>
    <w:rsid w:val="002C2C0B"/>
    <w:rsid w:val="003323BD"/>
    <w:rsid w:val="00341DB4"/>
    <w:rsid w:val="00364BFF"/>
    <w:rsid w:val="0039291E"/>
    <w:rsid w:val="003A3282"/>
    <w:rsid w:val="004855E9"/>
    <w:rsid w:val="004B32F4"/>
    <w:rsid w:val="005003CE"/>
    <w:rsid w:val="00523D63"/>
    <w:rsid w:val="00571FDC"/>
    <w:rsid w:val="005B4865"/>
    <w:rsid w:val="006049CA"/>
    <w:rsid w:val="00636B6C"/>
    <w:rsid w:val="006404EC"/>
    <w:rsid w:val="00674E79"/>
    <w:rsid w:val="006B4605"/>
    <w:rsid w:val="006D013B"/>
    <w:rsid w:val="006E5AD1"/>
    <w:rsid w:val="006F4B72"/>
    <w:rsid w:val="0074345C"/>
    <w:rsid w:val="00763AD8"/>
    <w:rsid w:val="00815137"/>
    <w:rsid w:val="00876EE7"/>
    <w:rsid w:val="008A14F4"/>
    <w:rsid w:val="00955FF5"/>
    <w:rsid w:val="00993EA7"/>
    <w:rsid w:val="00A0707B"/>
    <w:rsid w:val="00A235F3"/>
    <w:rsid w:val="00A90DDE"/>
    <w:rsid w:val="00B315DF"/>
    <w:rsid w:val="00B42BE0"/>
    <w:rsid w:val="00B75BD0"/>
    <w:rsid w:val="00B90022"/>
    <w:rsid w:val="00BC2A63"/>
    <w:rsid w:val="00C33F0E"/>
    <w:rsid w:val="00C61AD9"/>
    <w:rsid w:val="00C61D86"/>
    <w:rsid w:val="00C62441"/>
    <w:rsid w:val="00CB4AB5"/>
    <w:rsid w:val="00CB663F"/>
    <w:rsid w:val="00CC6FF1"/>
    <w:rsid w:val="00CF5BB6"/>
    <w:rsid w:val="00D316CA"/>
    <w:rsid w:val="00D40D4F"/>
    <w:rsid w:val="00F070DA"/>
    <w:rsid w:val="00F50AE0"/>
    <w:rsid w:val="0CAEF8DB"/>
    <w:rsid w:val="3B0DD49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8351E"/>
  <w15:chartTrackingRefBased/>
  <w15:docId w15:val="{A16E8339-70A2-49DB-8C2F-80ADA5FA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F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F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F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F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F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F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F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F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F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F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F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F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FDC"/>
    <w:rPr>
      <w:rFonts w:eastAsiaTheme="majorEastAsia" w:cstheme="majorBidi"/>
      <w:color w:val="272727" w:themeColor="text1" w:themeTint="D8"/>
    </w:rPr>
  </w:style>
  <w:style w:type="paragraph" w:styleId="Title">
    <w:name w:val="Title"/>
    <w:basedOn w:val="Normal"/>
    <w:next w:val="Normal"/>
    <w:link w:val="TitleChar"/>
    <w:uiPriority w:val="10"/>
    <w:qFormat/>
    <w:rsid w:val="00571FDC"/>
    <w:pPr>
      <w:spacing w:after="80"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rsid w:val="00571FDC"/>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qFormat/>
    <w:rsid w:val="00571FDC"/>
    <w:pPr>
      <w:numPr>
        <w:ilvl w:val="1"/>
      </w:numPr>
    </w:pPr>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571FDC"/>
    <w:rPr>
      <w:rFonts w:eastAsiaTheme="majorEastAsia" w:cstheme="majorBidi"/>
      <w:color w:val="595959" w:themeColor="text1" w:themeTint="A6"/>
      <w:sz w:val="28"/>
      <w:szCs w:val="28"/>
    </w:rPr>
  </w:style>
  <w:style w:type="paragraph" w:styleId="Quote">
    <w:name w:val="Quote"/>
    <w:basedOn w:val="Normal"/>
    <w:next w:val="Normal"/>
    <w:link w:val="QuoteChar"/>
    <w:uiPriority w:val="29"/>
    <w:qFormat/>
    <w:rsid w:val="00571FDC"/>
    <w:pPr>
      <w:spacing w:before="160"/>
      <w:jc w:val="center"/>
    </w:pPr>
    <w:rPr>
      <w:i/>
      <w:iCs/>
      <w:color w:val="404040" w:themeColor="text1" w:themeTint="BF"/>
    </w:rPr>
  </w:style>
  <w:style w:type="character" w:customStyle="1" w:styleId="QuoteChar">
    <w:name w:val="Quote Char"/>
    <w:basedOn w:val="DefaultParagraphFont"/>
    <w:link w:val="Quote"/>
    <w:uiPriority w:val="29"/>
    <w:rsid w:val="00571FDC"/>
    <w:rPr>
      <w:i/>
      <w:iCs/>
      <w:color w:val="404040" w:themeColor="text1" w:themeTint="BF"/>
    </w:rPr>
  </w:style>
  <w:style w:type="paragraph" w:styleId="ListParagraph">
    <w:name w:val="List Paragraph"/>
    <w:basedOn w:val="Normal"/>
    <w:uiPriority w:val="34"/>
    <w:qFormat/>
    <w:rsid w:val="00571FDC"/>
    <w:pPr>
      <w:ind w:left="720"/>
      <w:contextualSpacing/>
    </w:pPr>
  </w:style>
  <w:style w:type="character" w:styleId="IntenseEmphasis">
    <w:name w:val="Intense Emphasis"/>
    <w:basedOn w:val="DefaultParagraphFont"/>
    <w:uiPriority w:val="21"/>
    <w:qFormat/>
    <w:rsid w:val="00571FDC"/>
    <w:rPr>
      <w:i/>
      <w:iCs/>
      <w:color w:val="0F4761" w:themeColor="accent1" w:themeShade="BF"/>
    </w:rPr>
  </w:style>
  <w:style w:type="paragraph" w:styleId="IntenseQuote">
    <w:name w:val="Intense Quote"/>
    <w:basedOn w:val="Normal"/>
    <w:next w:val="Normal"/>
    <w:link w:val="IntenseQuoteChar"/>
    <w:uiPriority w:val="30"/>
    <w:qFormat/>
    <w:rsid w:val="00571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FDC"/>
    <w:rPr>
      <w:i/>
      <w:iCs/>
      <w:color w:val="0F4761" w:themeColor="accent1" w:themeShade="BF"/>
    </w:rPr>
  </w:style>
  <w:style w:type="character" w:styleId="IntenseReference">
    <w:name w:val="Intense Reference"/>
    <w:basedOn w:val="DefaultParagraphFont"/>
    <w:uiPriority w:val="32"/>
    <w:qFormat/>
    <w:rsid w:val="00571FDC"/>
    <w:rPr>
      <w:b/>
      <w:bCs/>
      <w:smallCaps/>
      <w:color w:val="0F4761" w:themeColor="accent1" w:themeShade="BF"/>
    </w:rPr>
  </w:style>
  <w:style w:type="character" w:styleId="CommentReference">
    <w:name w:val="annotation reference"/>
    <w:basedOn w:val="DefaultParagraphFont"/>
    <w:uiPriority w:val="99"/>
    <w:semiHidden/>
    <w:unhideWhenUsed/>
    <w:rsid w:val="00CC6FF1"/>
    <w:rPr>
      <w:sz w:val="16"/>
      <w:szCs w:val="16"/>
    </w:rPr>
  </w:style>
  <w:style w:type="paragraph" w:styleId="CommentText">
    <w:name w:val="annotation text"/>
    <w:basedOn w:val="Normal"/>
    <w:link w:val="CommentTextChar"/>
    <w:uiPriority w:val="99"/>
    <w:unhideWhenUsed/>
    <w:rsid w:val="00CC6FF1"/>
    <w:pPr>
      <w:spacing w:line="240" w:lineRule="auto"/>
    </w:pPr>
    <w:rPr>
      <w:sz w:val="20"/>
      <w:szCs w:val="20"/>
    </w:rPr>
  </w:style>
  <w:style w:type="character" w:customStyle="1" w:styleId="CommentTextChar">
    <w:name w:val="Comment Text Char"/>
    <w:basedOn w:val="DefaultParagraphFont"/>
    <w:link w:val="CommentText"/>
    <w:uiPriority w:val="99"/>
    <w:rsid w:val="00CC6FF1"/>
    <w:rPr>
      <w:sz w:val="20"/>
      <w:szCs w:val="20"/>
    </w:rPr>
  </w:style>
  <w:style w:type="table" w:styleId="TableGrid">
    <w:name w:val="Table Grid"/>
    <w:basedOn w:val="TableNormal"/>
    <w:uiPriority w:val="39"/>
    <w:rsid w:val="0048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Heading11">
    <w:name w:val="P68B1DB1-Heading11"/>
    <w:basedOn w:val="Heading1"/>
    <w:rPr>
      <w:b/>
    </w:rPr>
  </w:style>
  <w:style w:type="paragraph" w:customStyle="1" w:styleId="P68B1DB1-ListParagraph2">
    <w:name w:val="P68B1DB1-ListParagraph2"/>
    <w:basedOn w:val="ListParagraph"/>
    <w:rPr>
      <w:b/>
    </w:rPr>
  </w:style>
  <w:style w:type="paragraph" w:styleId="Revision">
    <w:name w:val="Revision"/>
    <w:hidden/>
    <w:uiPriority w:val="99"/>
    <w:semiHidden/>
    <w:rsid w:val="001D05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77467">
      <w:bodyDiv w:val="1"/>
      <w:marLeft w:val="0"/>
      <w:marRight w:val="0"/>
      <w:marTop w:val="0"/>
      <w:marBottom w:val="0"/>
      <w:divBdr>
        <w:top w:val="none" w:sz="0" w:space="0" w:color="auto"/>
        <w:left w:val="none" w:sz="0" w:space="0" w:color="auto"/>
        <w:bottom w:val="none" w:sz="0" w:space="0" w:color="auto"/>
        <w:right w:val="none" w:sz="0" w:space="0" w:color="auto"/>
      </w:divBdr>
    </w:div>
    <w:div w:id="176268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BB8693D33EC74A9FE22179E5368A81" ma:contentTypeVersion="3" ma:contentTypeDescription="Create a new document." ma:contentTypeScope="" ma:versionID="bc4c18dd9667664ea59ee789ea5ef8fc">
  <xsd:schema xmlns:xsd="http://www.w3.org/2001/XMLSchema" xmlns:xs="http://www.w3.org/2001/XMLSchema" xmlns:p="http://schemas.microsoft.com/office/2006/metadata/properties" xmlns:ns2="7fefaffb-23b9-4905-9955-fe30aefa0a8a" targetNamespace="http://schemas.microsoft.com/office/2006/metadata/properties" ma:root="true" ma:fieldsID="d7c8f9dc4bdd4367ce4f9f112c5cacae" ns2:_="">
    <xsd:import namespace="7fefaffb-23b9-4905-9955-fe30aefa0a8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affb-23b9-4905-9955-fe30aefa0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21B7EC-E3A0-41A3-88FE-4D56AD22F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affb-23b9-4905-9955-fe30aefa0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980307-0F45-4819-B607-AC367668634E}">
  <ds:schemaRefs>
    <ds:schemaRef ds:uri="http://schemas.microsoft.com/sharepoint/v3/contenttype/forms"/>
  </ds:schemaRefs>
</ds:datastoreItem>
</file>

<file path=customXml/itemProps3.xml><?xml version="1.0" encoding="utf-8"?>
<ds:datastoreItem xmlns:ds="http://schemas.openxmlformats.org/officeDocument/2006/customXml" ds:itemID="{FF18469E-0F82-47A9-94AE-5D0362A105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1306</Words>
  <Characters>8037</Characters>
  <Application>Microsoft Office Word</Application>
  <DocSecurity>4</DocSecurity>
  <Lines>143</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COUGHLAN Eileen (COMM)</dc:creator>
  <cp:keywords/>
  <dc:description/>
  <cp:lastModifiedBy>COUGHLAN Eileen (COMM)</cp:lastModifiedBy>
  <cp:revision>2</cp:revision>
  <cp:lastPrinted>2026-01-15T19:38:00Z</cp:lastPrinted>
  <dcterms:created xsi:type="dcterms:W3CDTF">2026-01-20T12:29:00Z</dcterms:created>
  <dcterms:modified xsi:type="dcterms:W3CDTF">2026-01-20T12:29:00Z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2026-01-14T13:15:02Z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1afcb559-f52a-43fe-8edc-b765ae4dd66d</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0x01010030BB8693D33EC74A9FE22179E5368A81</vt:lpwstr>
  </property>
</Properties>
</file>